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EC6207">
      <w:pPr>
        <w:snapToGrid w:val="0"/>
        <w:spacing w:before="300" w:after="120"/>
        <w:ind w:right="205"/>
        <w:jc w:val="center"/>
        <w:rPr>
          <w:rFonts w:hAnsi="宋体" w:cs="宋体"/>
          <w:b/>
          <w:bCs/>
          <w:color w:val="auto"/>
          <w:sz w:val="72"/>
          <w:szCs w:val="72"/>
        </w:rPr>
      </w:pPr>
      <w:bookmarkStart w:id="0" w:name="_GoBack"/>
      <w:bookmarkEnd w:id="0"/>
      <w:r>
        <w:rPr>
          <w:rFonts w:hint="eastAsia" w:hAnsi="宋体" w:cs="宋体"/>
          <w:b/>
          <w:bCs/>
          <w:color w:val="auto"/>
          <w:sz w:val="72"/>
          <w:szCs w:val="72"/>
        </w:rPr>
        <w:t>南通市海门区人民政府征收土地公告</w:t>
      </w:r>
    </w:p>
    <w:p w14:paraId="55DAEDEA">
      <w:pPr>
        <w:snapToGrid w:val="0"/>
        <w:spacing w:before="300" w:after="120"/>
        <w:ind w:right="205"/>
        <w:jc w:val="center"/>
        <w:rPr>
          <w:rFonts w:hint="default" w:hAnsi="宋体" w:eastAsia="宋体" w:cs="宋体"/>
          <w:b/>
          <w:bCs/>
          <w:color w:val="auto"/>
          <w:sz w:val="52"/>
          <w:szCs w:val="52"/>
          <w:lang w:val="en-US" w:eastAsia="zh-CN"/>
        </w:rPr>
      </w:pPr>
      <w:r>
        <w:rPr>
          <w:rFonts w:hint="eastAsia" w:hAnsi="宋体" w:cs="宋体"/>
          <w:b/>
          <w:bCs/>
          <w:color w:val="auto"/>
          <w:sz w:val="52"/>
          <w:szCs w:val="52"/>
          <w:lang w:val="en-US" w:eastAsia="zh-CN"/>
        </w:rPr>
        <w:t xml:space="preserve">                                                                                                                                                                                                                                                                                                                                                                                                                                                                                                                                                                                                                                                                                                                                                                                                                                                                                                                                                                                                      </w:t>
      </w:r>
    </w:p>
    <w:p w14:paraId="1520689B">
      <w:pPr>
        <w:snapToGrid w:val="0"/>
        <w:spacing w:before="120" w:after="120" w:line="360" w:lineRule="auto"/>
        <w:jc w:val="center"/>
        <w:rPr>
          <w:rFonts w:ascii="黑体" w:eastAsia="黑体"/>
          <w:b/>
          <w:color w:val="auto"/>
          <w:sz w:val="36"/>
        </w:rPr>
      </w:pPr>
      <w:r>
        <w:rPr>
          <w:rFonts w:hint="eastAsia" w:hAnsi="宋体" w:cs="宋体"/>
          <w:b/>
          <w:bCs/>
          <w:color w:val="auto"/>
          <w:sz w:val="36"/>
        </w:rPr>
        <w:t>海政征告（20</w:t>
      </w:r>
      <w:r>
        <w:rPr>
          <w:rFonts w:hint="eastAsia" w:hAnsi="宋体" w:cs="宋体"/>
          <w:b/>
          <w:bCs/>
          <w:color w:val="auto"/>
          <w:sz w:val="36"/>
          <w:lang w:val="en-US" w:eastAsia="zh-CN"/>
        </w:rPr>
        <w:t>26</w:t>
      </w:r>
      <w:r>
        <w:rPr>
          <w:rFonts w:hint="eastAsia" w:hAnsi="宋体" w:cs="宋体"/>
          <w:b/>
          <w:bCs/>
          <w:color w:val="auto"/>
          <w:sz w:val="36"/>
        </w:rPr>
        <w:t>）第</w:t>
      </w:r>
      <w:r>
        <w:rPr>
          <w:rFonts w:hint="eastAsia" w:hAnsi="宋体" w:cs="宋体"/>
          <w:b/>
          <w:bCs/>
          <w:color w:val="auto"/>
          <w:sz w:val="36"/>
          <w:lang w:val="en-US" w:eastAsia="zh-CN"/>
        </w:rPr>
        <w:t>001</w:t>
      </w:r>
      <w:r>
        <w:rPr>
          <w:rFonts w:hint="eastAsia" w:hAnsi="宋体" w:cs="宋体"/>
          <w:b/>
          <w:bCs/>
          <w:color w:val="auto"/>
          <w:sz w:val="36"/>
        </w:rPr>
        <w:t>号</w:t>
      </w:r>
    </w:p>
    <w:p w14:paraId="3E225167">
      <w:pPr>
        <w:adjustRightInd w:val="0"/>
        <w:snapToGrid w:val="0"/>
        <w:spacing w:line="360" w:lineRule="auto"/>
        <w:ind w:firstLine="720" w:firstLineChars="200"/>
        <w:rPr>
          <w:rFonts w:hAnsi="宋体"/>
          <w:color w:val="auto"/>
          <w:sz w:val="36"/>
          <w:szCs w:val="36"/>
        </w:rPr>
      </w:pPr>
      <w:r>
        <w:rPr>
          <w:rFonts w:hint="eastAsia" w:hAnsi="宋体"/>
          <w:color w:val="auto"/>
          <w:sz w:val="36"/>
          <w:szCs w:val="36"/>
        </w:rPr>
        <w:t>包场镇包场大街项目（南通市海门区增减挂钩2025年第2103批实施方案）业经江苏省人民政府批准，根据《中华人民共和国土地管理法》第五章第四十七条之规定，现将有关事项公告如下：</w:t>
      </w:r>
    </w:p>
    <w:p w14:paraId="55B64B2C">
      <w:pPr>
        <w:numPr>
          <w:ilvl w:val="0"/>
          <w:numId w:val="1"/>
        </w:numPr>
        <w:adjustRightInd w:val="0"/>
        <w:snapToGrid w:val="0"/>
        <w:spacing w:line="360" w:lineRule="auto"/>
        <w:ind w:firstLine="540" w:firstLineChars="150"/>
        <w:rPr>
          <w:rFonts w:hAnsi="宋体"/>
          <w:color w:val="auto"/>
          <w:sz w:val="36"/>
          <w:szCs w:val="36"/>
        </w:rPr>
      </w:pPr>
      <w:r>
        <w:rPr>
          <w:rFonts w:hint="eastAsia" w:hAnsi="宋体"/>
          <w:color w:val="auto"/>
          <w:sz w:val="36"/>
          <w:szCs w:val="36"/>
        </w:rPr>
        <w:t>建设用地项目名称：包场镇海临线西侧、镇东路东侧（包场大街）</w:t>
      </w:r>
    </w:p>
    <w:p w14:paraId="18E42FEE">
      <w:pPr>
        <w:numPr>
          <w:ilvl w:val="0"/>
          <w:numId w:val="1"/>
        </w:numPr>
        <w:adjustRightInd w:val="0"/>
        <w:snapToGrid w:val="0"/>
        <w:spacing w:line="360" w:lineRule="auto"/>
        <w:ind w:firstLine="540" w:firstLineChars="150"/>
        <w:rPr>
          <w:rFonts w:hAnsi="宋体"/>
          <w:color w:val="auto"/>
          <w:sz w:val="36"/>
          <w:szCs w:val="36"/>
        </w:rPr>
      </w:pPr>
      <w:r>
        <w:rPr>
          <w:rFonts w:hint="eastAsia" w:hAnsi="宋体"/>
          <w:color w:val="auto"/>
          <w:sz w:val="36"/>
          <w:szCs w:val="36"/>
        </w:rPr>
        <w:t xml:space="preserve">批准机关：江苏省人民政府   </w:t>
      </w:r>
    </w:p>
    <w:p w14:paraId="4A1F7BD7">
      <w:pPr>
        <w:adjustRightInd w:val="0"/>
        <w:snapToGrid w:val="0"/>
        <w:spacing w:line="360" w:lineRule="auto"/>
        <w:ind w:firstLine="1620" w:firstLineChars="450"/>
        <w:rPr>
          <w:rFonts w:hAnsi="宋体"/>
          <w:color w:val="auto"/>
          <w:sz w:val="36"/>
          <w:szCs w:val="36"/>
        </w:rPr>
      </w:pPr>
      <w:r>
        <w:rPr>
          <w:rFonts w:hint="eastAsia" w:hAnsi="宋体"/>
          <w:color w:val="auto"/>
          <w:sz w:val="36"/>
          <w:szCs w:val="36"/>
        </w:rPr>
        <w:t xml:space="preserve">批准文号：苏政挂〔2025〕154号 </w:t>
      </w:r>
    </w:p>
    <w:p w14:paraId="607A0C68">
      <w:pPr>
        <w:adjustRightInd w:val="0"/>
        <w:snapToGrid w:val="0"/>
        <w:spacing w:line="360" w:lineRule="auto"/>
        <w:ind w:firstLine="540" w:firstLineChars="150"/>
        <w:rPr>
          <w:rFonts w:hint="eastAsia" w:hAnsi="宋体" w:eastAsia="宋体"/>
          <w:color w:val="auto"/>
          <w:sz w:val="36"/>
          <w:szCs w:val="36"/>
          <w:lang w:eastAsia="zh-CN"/>
        </w:rPr>
      </w:pPr>
      <w:r>
        <w:rPr>
          <w:rFonts w:hint="eastAsia" w:hAnsi="宋体"/>
          <w:color w:val="auto"/>
          <w:sz w:val="36"/>
          <w:szCs w:val="36"/>
        </w:rPr>
        <w:t>（三）征收土地用途：</w:t>
      </w:r>
      <w:r>
        <w:rPr>
          <w:rFonts w:hint="eastAsia" w:hAnsi="宋体"/>
          <w:color w:val="auto"/>
          <w:sz w:val="36"/>
          <w:szCs w:val="36"/>
          <w:lang w:eastAsia="zh-CN"/>
        </w:rPr>
        <w:t>交通运输用地</w:t>
      </w:r>
    </w:p>
    <w:p w14:paraId="307FEA0A">
      <w:pPr>
        <w:adjustRightInd w:val="0"/>
        <w:snapToGrid w:val="0"/>
        <w:spacing w:line="360" w:lineRule="auto"/>
        <w:ind w:firstLine="540" w:firstLineChars="150"/>
        <w:rPr>
          <w:rFonts w:hAnsi="宋体"/>
          <w:color w:val="auto"/>
          <w:sz w:val="36"/>
          <w:szCs w:val="36"/>
        </w:rPr>
      </w:pPr>
      <w:r>
        <w:rPr>
          <w:rFonts w:hint="eastAsia" w:hAnsi="宋体"/>
          <w:color w:val="auto"/>
          <w:sz w:val="36"/>
          <w:szCs w:val="36"/>
        </w:rPr>
        <w:t>（四）征收土地位置：（详见附图)</w:t>
      </w:r>
    </w:p>
    <w:p w14:paraId="56B77C23">
      <w:pPr>
        <w:adjustRightInd w:val="0"/>
        <w:snapToGrid w:val="0"/>
        <w:spacing w:line="360" w:lineRule="auto"/>
        <w:ind w:firstLine="540" w:firstLineChars="150"/>
        <w:rPr>
          <w:rFonts w:hAnsi="宋体"/>
          <w:color w:val="auto"/>
          <w:sz w:val="36"/>
          <w:szCs w:val="36"/>
        </w:rPr>
      </w:pPr>
      <w:r>
        <w:rPr>
          <w:rFonts w:hint="eastAsia" w:hAnsi="宋体"/>
          <w:color w:val="auto"/>
          <w:sz w:val="36"/>
          <w:szCs w:val="36"/>
        </w:rPr>
        <w:t>（五）征收土地面积：合计</w:t>
      </w:r>
      <w:r>
        <w:rPr>
          <w:rFonts w:hint="eastAsia" w:hAnsi="宋体"/>
          <w:color w:val="auto"/>
          <w:sz w:val="36"/>
          <w:szCs w:val="36"/>
          <w:lang w:val="en-US" w:eastAsia="zh-CN"/>
        </w:rPr>
        <w:t>1.4253</w:t>
      </w:r>
      <w:r>
        <w:rPr>
          <w:rFonts w:hint="eastAsia" w:hAnsi="宋体"/>
          <w:color w:val="auto"/>
          <w:sz w:val="36"/>
          <w:szCs w:val="36"/>
        </w:rPr>
        <w:t>公顷。</w:t>
      </w:r>
    </w:p>
    <w:p w14:paraId="1DA2F9E8">
      <w:pPr>
        <w:adjustRightInd w:val="0"/>
        <w:snapToGrid w:val="0"/>
        <w:spacing w:line="360" w:lineRule="auto"/>
        <w:ind w:firstLine="720" w:firstLineChars="200"/>
        <w:rPr>
          <w:rFonts w:hint="eastAsia" w:hAnsi="宋体"/>
          <w:color w:val="auto"/>
          <w:sz w:val="36"/>
          <w:szCs w:val="36"/>
        </w:rPr>
      </w:pPr>
      <w:r>
        <w:rPr>
          <w:rFonts w:hint="eastAsia" w:hAnsi="宋体"/>
          <w:color w:val="auto"/>
          <w:sz w:val="36"/>
          <w:szCs w:val="36"/>
          <w:lang w:eastAsia="zh-CN"/>
        </w:rPr>
        <w:t>包场镇包场村九组、包场村十组、镇东村七组、镇东村十一组、镇东村十组</w:t>
      </w:r>
      <w:r>
        <w:rPr>
          <w:rFonts w:hint="eastAsia" w:hAnsi="宋体"/>
          <w:color w:val="auto"/>
          <w:sz w:val="36"/>
          <w:szCs w:val="36"/>
          <w:lang w:val="en-US" w:eastAsia="zh-CN"/>
        </w:rPr>
        <w:t>1.4253</w:t>
      </w:r>
      <w:r>
        <w:rPr>
          <w:rFonts w:hint="eastAsia" w:hAnsi="宋体"/>
          <w:color w:val="auto"/>
          <w:sz w:val="36"/>
          <w:szCs w:val="36"/>
        </w:rPr>
        <w:t>公顷，（其中：</w:t>
      </w:r>
      <w:r>
        <w:rPr>
          <w:rFonts w:hint="eastAsia" w:hAnsi="宋体"/>
          <w:color w:val="auto"/>
          <w:sz w:val="36"/>
          <w:szCs w:val="36"/>
          <w:lang w:eastAsia="zh-CN"/>
        </w:rPr>
        <w:t>农用地</w:t>
      </w:r>
      <w:r>
        <w:rPr>
          <w:rFonts w:hint="eastAsia" w:hAnsi="宋体"/>
          <w:color w:val="auto"/>
          <w:sz w:val="36"/>
          <w:szCs w:val="36"/>
          <w:lang w:val="en-US" w:eastAsia="zh-CN"/>
        </w:rPr>
        <w:t>1.4253公顷，</w:t>
      </w:r>
      <w:r>
        <w:rPr>
          <w:rFonts w:hint="eastAsia" w:hAnsi="宋体"/>
          <w:color w:val="auto"/>
          <w:sz w:val="36"/>
          <w:szCs w:val="36"/>
        </w:rPr>
        <w:t>耕地</w:t>
      </w:r>
      <w:r>
        <w:rPr>
          <w:rFonts w:hint="eastAsia" w:hAnsi="宋体"/>
          <w:color w:val="auto"/>
          <w:sz w:val="36"/>
          <w:szCs w:val="36"/>
          <w:lang w:val="en-US" w:eastAsia="zh-CN"/>
        </w:rPr>
        <w:t>1.1591</w:t>
      </w:r>
      <w:r>
        <w:rPr>
          <w:rFonts w:hint="eastAsia" w:hAnsi="宋体"/>
          <w:color w:val="auto"/>
          <w:sz w:val="36"/>
          <w:szCs w:val="36"/>
        </w:rPr>
        <w:t>公顷，建设用地</w:t>
      </w:r>
      <w:r>
        <w:rPr>
          <w:rFonts w:hint="eastAsia" w:hAnsi="宋体"/>
          <w:color w:val="auto"/>
          <w:sz w:val="36"/>
          <w:szCs w:val="36"/>
          <w:lang w:val="en-US" w:eastAsia="zh-CN"/>
        </w:rPr>
        <w:t>0</w:t>
      </w:r>
      <w:r>
        <w:rPr>
          <w:rFonts w:hint="eastAsia" w:hAnsi="宋体"/>
          <w:color w:val="auto"/>
          <w:sz w:val="36"/>
          <w:szCs w:val="36"/>
        </w:rPr>
        <w:t>公顷，未利用地</w:t>
      </w:r>
      <w:r>
        <w:rPr>
          <w:rFonts w:hint="eastAsia" w:hAnsi="宋体"/>
          <w:color w:val="auto"/>
          <w:sz w:val="36"/>
          <w:szCs w:val="36"/>
          <w:lang w:val="en-US" w:eastAsia="zh-CN"/>
        </w:rPr>
        <w:t>0</w:t>
      </w:r>
      <w:r>
        <w:rPr>
          <w:rFonts w:hint="eastAsia" w:hAnsi="宋体"/>
          <w:color w:val="auto"/>
          <w:sz w:val="36"/>
          <w:szCs w:val="36"/>
        </w:rPr>
        <w:t>公顷）。</w:t>
      </w:r>
    </w:p>
    <w:p w14:paraId="3EF2BEFA">
      <w:pPr>
        <w:adjustRightInd w:val="0"/>
        <w:snapToGrid w:val="0"/>
        <w:spacing w:line="360" w:lineRule="auto"/>
        <w:ind w:firstLine="540" w:firstLineChars="150"/>
        <w:jc w:val="left"/>
        <w:rPr>
          <w:rFonts w:hAnsi="宋体"/>
          <w:color w:val="auto"/>
          <w:sz w:val="36"/>
          <w:szCs w:val="36"/>
        </w:rPr>
      </w:pPr>
      <w:r>
        <w:rPr>
          <w:rFonts w:hint="eastAsia"/>
          <w:color w:val="auto"/>
          <w:sz w:val="36"/>
          <w:szCs w:val="36"/>
        </w:rPr>
        <w:t>（六）征收土地</w:t>
      </w:r>
      <w:r>
        <w:rPr>
          <w:rFonts w:hint="eastAsia" w:hAnsi="宋体"/>
          <w:bCs/>
          <w:color w:val="auto"/>
          <w:sz w:val="36"/>
          <w:szCs w:val="36"/>
        </w:rPr>
        <w:t>补偿安置：</w:t>
      </w:r>
    </w:p>
    <w:p w14:paraId="009E8C22">
      <w:pPr>
        <w:adjustRightInd w:val="0"/>
        <w:snapToGrid w:val="0"/>
        <w:spacing w:line="360" w:lineRule="auto"/>
        <w:ind w:firstLine="720" w:firstLineChars="200"/>
        <w:rPr>
          <w:rFonts w:hAnsi="宋体"/>
          <w:color w:val="auto"/>
          <w:sz w:val="36"/>
          <w:szCs w:val="36"/>
        </w:rPr>
      </w:pPr>
      <w:r>
        <w:rPr>
          <w:rFonts w:hint="eastAsia" w:hAnsi="宋体"/>
          <w:color w:val="auto"/>
          <w:sz w:val="36"/>
          <w:szCs w:val="36"/>
        </w:rPr>
        <w:t>按照区政府《征地补偿安置方案公告》（海征补安置〔202</w:t>
      </w:r>
      <w:r>
        <w:rPr>
          <w:rFonts w:hint="eastAsia" w:hAnsi="宋体"/>
          <w:color w:val="auto"/>
          <w:sz w:val="36"/>
          <w:szCs w:val="36"/>
          <w:lang w:val="en-US" w:eastAsia="zh-CN"/>
        </w:rPr>
        <w:t>4</w:t>
      </w:r>
      <w:r>
        <w:rPr>
          <w:rFonts w:hint="eastAsia" w:hAnsi="宋体"/>
          <w:color w:val="auto"/>
          <w:sz w:val="36"/>
          <w:szCs w:val="36"/>
        </w:rPr>
        <w:t>〕</w:t>
      </w:r>
      <w:r>
        <w:rPr>
          <w:rFonts w:hint="eastAsia" w:hAnsi="宋体"/>
          <w:color w:val="auto"/>
          <w:sz w:val="36"/>
          <w:szCs w:val="36"/>
          <w:lang w:val="en-US" w:eastAsia="zh-CN"/>
        </w:rPr>
        <w:t>63</w:t>
      </w:r>
      <w:r>
        <w:rPr>
          <w:rFonts w:hint="eastAsia" w:hAnsi="宋体"/>
          <w:color w:val="auto"/>
          <w:sz w:val="36"/>
          <w:szCs w:val="36"/>
        </w:rPr>
        <w:t>号）相关补偿标准及有关征收土地补偿安置协议实施。</w:t>
      </w:r>
    </w:p>
    <w:p w14:paraId="5CD97AA6">
      <w:pPr>
        <w:numPr>
          <w:ilvl w:val="0"/>
          <w:numId w:val="2"/>
        </w:numPr>
        <w:adjustRightInd w:val="0"/>
        <w:snapToGrid w:val="0"/>
        <w:spacing w:line="360" w:lineRule="auto"/>
        <w:ind w:firstLine="540" w:firstLineChars="150"/>
        <w:rPr>
          <w:rFonts w:hAnsi="宋体"/>
          <w:color w:val="auto"/>
          <w:sz w:val="36"/>
          <w:szCs w:val="36"/>
        </w:rPr>
      </w:pPr>
      <w:r>
        <w:rPr>
          <w:rFonts w:hint="eastAsia" w:hAnsi="宋体"/>
          <w:color w:val="auto"/>
          <w:sz w:val="36"/>
          <w:szCs w:val="36"/>
        </w:rPr>
        <w:t>征地补偿实施后，请相关权利人持有关权利证书五日内到不动产登记交易中心办理注销登记手续，在规定期限内不办理登记将视为放弃应有的权益，同时区政府将依法进行注销。</w:t>
      </w:r>
    </w:p>
    <w:p w14:paraId="6601C671">
      <w:pPr>
        <w:numPr>
          <w:ilvl w:val="0"/>
          <w:numId w:val="2"/>
        </w:numPr>
        <w:adjustRightInd w:val="0"/>
        <w:snapToGrid w:val="0"/>
        <w:spacing w:line="360" w:lineRule="auto"/>
        <w:ind w:firstLine="540" w:firstLineChars="150"/>
        <w:rPr>
          <w:rFonts w:hAnsi="宋体"/>
          <w:color w:val="auto"/>
          <w:sz w:val="36"/>
          <w:szCs w:val="36"/>
        </w:rPr>
      </w:pPr>
      <w:r>
        <w:rPr>
          <w:rFonts w:hint="eastAsia" w:hAnsi="宋体"/>
          <w:color w:val="auto"/>
          <w:sz w:val="36"/>
          <w:szCs w:val="36"/>
        </w:rPr>
        <w:t>公告时限为三十日。</w:t>
      </w:r>
    </w:p>
    <w:p w14:paraId="19EE2DCF">
      <w:pPr>
        <w:adjustRightInd w:val="0"/>
        <w:snapToGrid w:val="0"/>
        <w:spacing w:line="360" w:lineRule="auto"/>
        <w:ind w:firstLine="645"/>
        <w:jc w:val="left"/>
        <w:rPr>
          <w:b/>
          <w:color w:val="auto"/>
          <w:sz w:val="36"/>
          <w:szCs w:val="36"/>
        </w:rPr>
      </w:pPr>
      <w:r>
        <w:rPr>
          <w:rFonts w:hint="eastAsia"/>
          <w:b/>
          <w:color w:val="auto"/>
          <w:sz w:val="36"/>
          <w:szCs w:val="36"/>
        </w:rPr>
        <w:t xml:space="preserve"> </w:t>
      </w:r>
      <w:r>
        <w:rPr>
          <w:rFonts w:hint="eastAsia"/>
          <w:color w:val="auto"/>
          <w:sz w:val="36"/>
          <w:szCs w:val="36"/>
        </w:rPr>
        <w:t xml:space="preserve">特此公告      </w:t>
      </w:r>
      <w:r>
        <w:rPr>
          <w:rFonts w:hint="eastAsia"/>
          <w:b/>
          <w:color w:val="auto"/>
          <w:sz w:val="36"/>
          <w:szCs w:val="36"/>
        </w:rPr>
        <w:t xml:space="preserve">                                     </w:t>
      </w:r>
    </w:p>
    <w:p w14:paraId="6525C2FE">
      <w:pPr>
        <w:spacing w:line="360" w:lineRule="auto"/>
        <w:ind w:firstLine="8100" w:firstLineChars="2250"/>
        <w:rPr>
          <w:b/>
          <w:color w:val="auto"/>
          <w:sz w:val="36"/>
          <w:szCs w:val="36"/>
        </w:rPr>
      </w:pPr>
      <w:r>
        <w:rPr>
          <w:rFonts w:hint="eastAsia"/>
          <w:bCs/>
          <w:color w:val="auto"/>
          <w:sz w:val="36"/>
          <w:szCs w:val="36"/>
        </w:rPr>
        <w:t>南通市海门区人民政府</w:t>
      </w:r>
    </w:p>
    <w:p w14:paraId="4CD5E154">
      <w:pPr>
        <w:spacing w:line="360" w:lineRule="auto"/>
        <w:ind w:firstLine="6686" w:firstLineChars="1850"/>
        <w:rPr>
          <w:rFonts w:hAnsi="宋体"/>
          <w:color w:val="auto"/>
          <w:sz w:val="36"/>
        </w:rPr>
      </w:pPr>
      <w:r>
        <w:rPr>
          <w:rFonts w:hint="eastAsia"/>
          <w:b/>
          <w:color w:val="auto"/>
          <w:sz w:val="36"/>
          <w:szCs w:val="36"/>
        </w:rPr>
        <w:t xml:space="preserve">       </w:t>
      </w:r>
      <w:r>
        <w:rPr>
          <w:rFonts w:hint="eastAsia" w:hAnsi="宋体"/>
          <w:color w:val="auto"/>
          <w:sz w:val="36"/>
          <w:szCs w:val="36"/>
        </w:rPr>
        <w:t xml:space="preserve">   202</w:t>
      </w:r>
      <w:r>
        <w:rPr>
          <w:rFonts w:hint="eastAsia" w:hAnsi="宋体"/>
          <w:color w:val="auto"/>
          <w:sz w:val="36"/>
          <w:szCs w:val="36"/>
          <w:lang w:val="en-US" w:eastAsia="zh-CN"/>
        </w:rPr>
        <w:t>6</w:t>
      </w:r>
      <w:r>
        <w:rPr>
          <w:rFonts w:hint="eastAsia" w:hAnsi="宋体"/>
          <w:color w:val="auto"/>
          <w:sz w:val="36"/>
          <w:szCs w:val="36"/>
        </w:rPr>
        <w:t>年</w:t>
      </w:r>
      <w:r>
        <w:rPr>
          <w:rFonts w:hint="eastAsia" w:hAnsi="宋体"/>
          <w:color w:val="auto"/>
          <w:sz w:val="36"/>
          <w:szCs w:val="36"/>
          <w:lang w:val="en-US" w:eastAsia="zh-CN"/>
        </w:rPr>
        <w:t>1</w:t>
      </w:r>
      <w:r>
        <w:rPr>
          <w:rFonts w:hint="eastAsia" w:hAnsi="宋体"/>
          <w:color w:val="auto"/>
          <w:sz w:val="36"/>
          <w:szCs w:val="36"/>
        </w:rPr>
        <w:t>月</w:t>
      </w:r>
      <w:r>
        <w:rPr>
          <w:rFonts w:hint="eastAsia" w:hAnsi="宋体"/>
          <w:color w:val="auto"/>
          <w:sz w:val="36"/>
          <w:szCs w:val="36"/>
          <w:lang w:val="en-US" w:eastAsia="zh-CN"/>
        </w:rPr>
        <w:t>5</w:t>
      </w:r>
      <w:r>
        <w:rPr>
          <w:rFonts w:hint="eastAsia" w:hAnsi="宋体"/>
          <w:color w:val="auto"/>
          <w:sz w:val="36"/>
          <w:szCs w:val="36"/>
        </w:rPr>
        <w:t>日</w:t>
      </w:r>
    </w:p>
    <w:p w14:paraId="5C8C02D9">
      <w:pPr>
        <w:rPr>
          <w:color w:val="auto"/>
        </w:rPr>
      </w:pPr>
    </w:p>
    <w:sectPr>
      <w:pgSz w:w="16783" w:h="23757"/>
      <w:pgMar w:top="1701" w:right="1797" w:bottom="170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5E5C08"/>
    <w:multiLevelType w:val="singleLevel"/>
    <w:tmpl w:val="B05E5C08"/>
    <w:lvl w:ilvl="0" w:tentative="0">
      <w:start w:val="1"/>
      <w:numFmt w:val="chineseCounting"/>
      <w:suff w:val="nothing"/>
      <w:lvlText w:val="（%1）"/>
      <w:lvlJc w:val="left"/>
      <w:rPr>
        <w:rFonts w:hint="eastAsia"/>
      </w:rPr>
    </w:lvl>
  </w:abstractNum>
  <w:abstractNum w:abstractNumId="1">
    <w:nsid w:val="CA0DB12E"/>
    <w:multiLevelType w:val="singleLevel"/>
    <w:tmpl w:val="CA0DB12E"/>
    <w:lvl w:ilvl="0" w:tentative="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1YzlkNzM2OTI1ZWQyODM3Y2EwMTc0MDg4M2ExYmMifQ=="/>
  </w:docVars>
  <w:rsids>
    <w:rsidRoot w:val="31CD25FA"/>
    <w:rsid w:val="005611D4"/>
    <w:rsid w:val="00B40BAD"/>
    <w:rsid w:val="00E3613A"/>
    <w:rsid w:val="01C47A58"/>
    <w:rsid w:val="01EB2E4C"/>
    <w:rsid w:val="021B50A8"/>
    <w:rsid w:val="023709A5"/>
    <w:rsid w:val="025752FA"/>
    <w:rsid w:val="028415CB"/>
    <w:rsid w:val="032C5614"/>
    <w:rsid w:val="034C5649"/>
    <w:rsid w:val="050F1D3E"/>
    <w:rsid w:val="058B0669"/>
    <w:rsid w:val="058C18BF"/>
    <w:rsid w:val="06B84EA1"/>
    <w:rsid w:val="08EC6487"/>
    <w:rsid w:val="0A891ED8"/>
    <w:rsid w:val="0B6131F9"/>
    <w:rsid w:val="0B706491"/>
    <w:rsid w:val="0E9A3D3C"/>
    <w:rsid w:val="0FA716B5"/>
    <w:rsid w:val="12C117E9"/>
    <w:rsid w:val="12C32F26"/>
    <w:rsid w:val="13564D65"/>
    <w:rsid w:val="13A520F1"/>
    <w:rsid w:val="147F6DE6"/>
    <w:rsid w:val="15AA1C40"/>
    <w:rsid w:val="1845333E"/>
    <w:rsid w:val="19437D9C"/>
    <w:rsid w:val="194A0A79"/>
    <w:rsid w:val="19C46CEE"/>
    <w:rsid w:val="19FC6829"/>
    <w:rsid w:val="1DA424EA"/>
    <w:rsid w:val="1DDD6F1D"/>
    <w:rsid w:val="1DFA2826"/>
    <w:rsid w:val="1EF46CA5"/>
    <w:rsid w:val="1F367A1F"/>
    <w:rsid w:val="1F864856"/>
    <w:rsid w:val="1FF0340E"/>
    <w:rsid w:val="23FD1E86"/>
    <w:rsid w:val="24916BD1"/>
    <w:rsid w:val="255816B9"/>
    <w:rsid w:val="26E612C3"/>
    <w:rsid w:val="276068E7"/>
    <w:rsid w:val="27F610A1"/>
    <w:rsid w:val="2A9178EE"/>
    <w:rsid w:val="2CBC6BC0"/>
    <w:rsid w:val="2E960A91"/>
    <w:rsid w:val="2EE334E9"/>
    <w:rsid w:val="31CD25FA"/>
    <w:rsid w:val="31D51960"/>
    <w:rsid w:val="31D66036"/>
    <w:rsid w:val="31F359AF"/>
    <w:rsid w:val="326B54B9"/>
    <w:rsid w:val="32D96EAA"/>
    <w:rsid w:val="335E7CF3"/>
    <w:rsid w:val="343E5DCA"/>
    <w:rsid w:val="35724EFD"/>
    <w:rsid w:val="36722FB0"/>
    <w:rsid w:val="377E112B"/>
    <w:rsid w:val="38DA4312"/>
    <w:rsid w:val="38E11633"/>
    <w:rsid w:val="39F072DD"/>
    <w:rsid w:val="3A3273E7"/>
    <w:rsid w:val="3A8723CC"/>
    <w:rsid w:val="3C35234F"/>
    <w:rsid w:val="3D8149A6"/>
    <w:rsid w:val="3DDD0555"/>
    <w:rsid w:val="3E5F130D"/>
    <w:rsid w:val="3FDD483D"/>
    <w:rsid w:val="40160D84"/>
    <w:rsid w:val="41D1442A"/>
    <w:rsid w:val="42004812"/>
    <w:rsid w:val="42580299"/>
    <w:rsid w:val="425E25A2"/>
    <w:rsid w:val="427A7BDB"/>
    <w:rsid w:val="45C201BC"/>
    <w:rsid w:val="4E7B34AA"/>
    <w:rsid w:val="4F3D167F"/>
    <w:rsid w:val="5023629C"/>
    <w:rsid w:val="53B115AF"/>
    <w:rsid w:val="53E53965"/>
    <w:rsid w:val="55164621"/>
    <w:rsid w:val="56637055"/>
    <w:rsid w:val="5B18714C"/>
    <w:rsid w:val="5C1C2ADF"/>
    <w:rsid w:val="5D1466B9"/>
    <w:rsid w:val="5F477A7D"/>
    <w:rsid w:val="5F995EF1"/>
    <w:rsid w:val="5FB1323B"/>
    <w:rsid w:val="614A7894"/>
    <w:rsid w:val="61EB22AE"/>
    <w:rsid w:val="628C59A7"/>
    <w:rsid w:val="62E779D4"/>
    <w:rsid w:val="62F91E3A"/>
    <w:rsid w:val="677740EF"/>
    <w:rsid w:val="692109E6"/>
    <w:rsid w:val="69787A12"/>
    <w:rsid w:val="6A22612D"/>
    <w:rsid w:val="6A603874"/>
    <w:rsid w:val="6ACB55E5"/>
    <w:rsid w:val="6C6E48EB"/>
    <w:rsid w:val="6ED204EF"/>
    <w:rsid w:val="6F5E6788"/>
    <w:rsid w:val="6FD40F09"/>
    <w:rsid w:val="6FEE1C2A"/>
    <w:rsid w:val="70D56006"/>
    <w:rsid w:val="737A416C"/>
    <w:rsid w:val="75B3671D"/>
    <w:rsid w:val="75C83A29"/>
    <w:rsid w:val="76867D44"/>
    <w:rsid w:val="775B0EA5"/>
    <w:rsid w:val="78467E01"/>
    <w:rsid w:val="78FB4780"/>
    <w:rsid w:val="7AF07139"/>
    <w:rsid w:val="7E8818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Times New Roman" w:eastAsia="宋体" w:cs="Times New Roman"/>
      <w:kern w:val="2"/>
      <w:sz w:val="3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sz w:val="18"/>
      <w:szCs w:val="18"/>
    </w:rPr>
  </w:style>
  <w:style w:type="paragraph" w:styleId="3">
    <w:name w:val="header"/>
    <w:basedOn w:val="1"/>
    <w:link w:val="6"/>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qFormat/>
    <w:uiPriority w:val="0"/>
    <w:rPr>
      <w:rFonts w:ascii="宋体" w:hAnsi="Times New Roman" w:eastAsia="宋体" w:cs="Times New Roman"/>
      <w:kern w:val="2"/>
      <w:sz w:val="18"/>
      <w:szCs w:val="18"/>
    </w:rPr>
  </w:style>
  <w:style w:type="character" w:customStyle="1" w:styleId="7">
    <w:name w:val="页脚 Char"/>
    <w:basedOn w:val="5"/>
    <w:link w:val="2"/>
    <w:autoRedefine/>
    <w:qFormat/>
    <w:uiPriority w:val="0"/>
    <w:rPr>
      <w:rFonts w:ascii="宋体"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450</Words>
  <Characters>493</Characters>
  <Lines>4</Lines>
  <Paragraphs>1</Paragraphs>
  <TotalTime>0</TotalTime>
  <ScaleCrop>false</ScaleCrop>
  <LinksUpToDate>false</LinksUpToDate>
  <CharactersWithSpaces>1517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2023-02-15T00:47:00Z</dcterms:created>
  <dc:creator>未来很远一个人过</dc:creator>
  <cp:lastModifiedBy>江丽英</cp:lastModifiedBy>
  <cp:lastPrinted>2025-11-11T05:39:00Z</cp:lastPrinted>
  <dcterms:modified xsi:type="dcterms:W3CDTF">2026-01-05T02:20:48Z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C2330F10531C4CE0927DFAD98CDF39E2_13</vt:lpwstr>
  </property>
  <property fmtid="{D5CDD505-2E9C-101B-9397-08002B2CF9AE}" pid="4" name="KSOTemplateDocerSaveRecord">
    <vt:lpwstr>eyJoZGlkIjoiMjM1YzlkNzM2OTI1ZWQyODM3Y2EwMTc0MDg4M2ExYmMiLCJ1c2VySWQiOiIxOTEzMzk1NDIifQ==</vt:lpwstr>
  </property>
</Properties>
</file>